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45174027" wp14:editId="2804F2AF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E0012F">
              <w:rPr>
                <w:rFonts w:asciiTheme="majorBidi" w:hAnsiTheme="majorBidi" w:cstheme="majorBidi"/>
              </w:rPr>
              <w:t>Lab Equipment</w:t>
            </w:r>
            <w:r w:rsidR="00D61EC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:rsidR="00AB2CBC" w:rsidRPr="00390F24" w:rsidRDefault="003562BD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Lab Equipment </w:t>
                  </w:r>
                </w:p>
              </w:tc>
              <w:tc>
                <w:tcPr>
                  <w:tcW w:w="720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:rsidR="00AB2CBC" w:rsidRPr="00390F24" w:rsidRDefault="00AB2CBC" w:rsidP="00C65D5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C65D5B">
                    <w:rPr>
                      <w:rFonts w:asciiTheme="majorBidi" w:hAnsiTheme="majorBidi" w:cstheme="majorBidi"/>
                    </w:rPr>
                    <w:t>2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C65D5B">
                    <w:rPr>
                      <w:rFonts w:asciiTheme="majorBidi" w:hAnsiTheme="majorBidi" w:cstheme="majorBidi"/>
                    </w:rPr>
                    <w:t>21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C65D5B">
                    <w:rPr>
                      <w:rFonts w:asciiTheme="majorBidi" w:hAnsiTheme="majorBidi" w:cstheme="majorBidi"/>
                    </w:rPr>
                    <w:t>710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C65D5B">
                    <w:rPr>
                      <w:rFonts w:asciiTheme="majorBidi" w:hAnsiTheme="majorBidi" w:cstheme="majorBidi"/>
                    </w:rPr>
                    <w:t>5</w:t>
                  </w:r>
                  <w:r w:rsidR="00E0012F"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01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Month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7D763B">
              <w:rPr>
                <w:rFonts w:asciiTheme="majorBidi" w:hAnsiTheme="majorBidi" w:cstheme="majorBidi"/>
                <w:b/>
                <w:szCs w:val="32"/>
              </w:rPr>
              <w:t>30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7D763B">
              <w:rPr>
                <w:rFonts w:asciiTheme="majorBidi" w:hAnsiTheme="majorBidi" w:cstheme="majorBidi"/>
                <w:b/>
                <w:szCs w:val="32"/>
              </w:rPr>
              <w:t>5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7D763B">
              <w:rPr>
                <w:rFonts w:asciiTheme="majorBidi" w:hAnsiTheme="majorBidi" w:cstheme="majorBidi"/>
                <w:b/>
                <w:sz w:val="32"/>
                <w:szCs w:val="32"/>
              </w:rPr>
              <w:t>Mukarram Ali Tahir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7D763B">
              <w:rPr>
                <w:rFonts w:asciiTheme="majorBidi" w:hAnsiTheme="majorBidi" w:cstheme="majorBidi"/>
                <w:b/>
                <w:sz w:val="28"/>
                <w:szCs w:val="28"/>
              </w:rPr>
              <w:t>Investigator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D57F4A" w:rsidRDefault="00272D2D" w:rsidP="007D763B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</w:t>
            </w:r>
            <w:r w:rsidR="007D763B">
              <w:rPr>
                <w:b/>
                <w:sz w:val="24"/>
              </w:rPr>
              <w:t>334</w:t>
            </w:r>
            <w:r w:rsidR="00D61EC7">
              <w:rPr>
                <w:b/>
                <w:sz w:val="24"/>
              </w:rPr>
              <w:t>-</w:t>
            </w:r>
            <w:r w:rsidR="007D763B">
              <w:rPr>
                <w:b/>
                <w:sz w:val="24"/>
              </w:rPr>
              <w:t>4091979</w:t>
            </w:r>
            <w:bookmarkStart w:id="0" w:name="_GoBack"/>
            <w:bookmarkEnd w:id="0"/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C5"/>
    <w:rsid w:val="00011FB2"/>
    <w:rsid w:val="000A54A0"/>
    <w:rsid w:val="000E2C4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3562BD"/>
    <w:rsid w:val="004F4FB4"/>
    <w:rsid w:val="00525701"/>
    <w:rsid w:val="00531CAC"/>
    <w:rsid w:val="00605D84"/>
    <w:rsid w:val="00610B82"/>
    <w:rsid w:val="00634B83"/>
    <w:rsid w:val="00666F43"/>
    <w:rsid w:val="00686B9C"/>
    <w:rsid w:val="006B6CC8"/>
    <w:rsid w:val="006C0616"/>
    <w:rsid w:val="00744D06"/>
    <w:rsid w:val="00750C4E"/>
    <w:rsid w:val="0075377A"/>
    <w:rsid w:val="00797BFF"/>
    <w:rsid w:val="007B75DD"/>
    <w:rsid w:val="007D6BC5"/>
    <w:rsid w:val="007D763B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65D5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0012F"/>
    <w:rsid w:val="00E7068A"/>
    <w:rsid w:val="00E73F29"/>
    <w:rsid w:val="00E9218D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43</cp:revision>
  <cp:lastPrinted>2017-12-15T06:05:00Z</cp:lastPrinted>
  <dcterms:created xsi:type="dcterms:W3CDTF">2016-02-18T17:21:00Z</dcterms:created>
  <dcterms:modified xsi:type="dcterms:W3CDTF">2018-05-10T06:22:00Z</dcterms:modified>
</cp:coreProperties>
</file>